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993B4D" w:rsidRPr="00154026" w:rsidP="006A623D">
      <w:pPr>
        <w:spacing w:line="240" w:lineRule="auto"/>
        <w:rPr>
          <w:rFonts w:ascii="Arial" w:hAnsi="Arial"/>
          <w:b/>
          <w:noProof/>
          <w:sz w:val="28"/>
          <w:szCs w:val="28"/>
        </w:rPr>
      </w:pPr>
      <w:r w:rsidRPr="00154026">
        <w:rPr>
          <w:rFonts w:ascii="Arial" w:hAnsi="Arial"/>
        </w:rPr>
        <w:br/>
      </w:r>
      <w:r w:rsidRPr="00154026" w:rsidR="007B0FAA">
        <w:rPr>
          <w:rFonts w:ascii="Arial" w:hAnsi="Arial"/>
          <w:b/>
          <w:color w:val="31849B" w:themeColor="accent5" w:themeShade="BF"/>
          <w:sz w:val="28"/>
          <w:szCs w:val="28"/>
        </w:rPr>
        <w:br/>
      </w:r>
      <w:r w:rsidRPr="00154026">
        <w:rPr>
          <w:rFonts w:ascii="Arial" w:hAnsi="Arial"/>
          <w:b/>
          <w:noProof/>
          <w:color w:val="17365D" w:themeColor="text2" w:themeShade="BF"/>
          <w:sz w:val="28"/>
          <w:szCs w:val="28"/>
        </w:rPr>
        <w:t>Trauma and</w:t>
      </w:r>
      <w:r w:rsidRPr="00154026">
        <w:rPr>
          <w:rFonts w:ascii="Arial" w:hAnsi="Arial"/>
          <w:b/>
          <w:noProof/>
          <w:color w:val="17365D" w:themeColor="text2" w:themeShade="BF"/>
          <w:sz w:val="28"/>
          <w:szCs w:val="28"/>
        </w:rPr>
        <w:t xml:space="preserve"> Critical Care Update 2024</w:t>
      </w:r>
      <w:r w:rsidRPr="00154026">
        <w:rPr>
          <w:rFonts w:ascii="Arial" w:hAnsi="Arial"/>
          <w:b/>
          <w:noProof/>
          <w:color w:val="31849B" w:themeColor="accent5" w:themeShade="BF"/>
          <w:sz w:val="28"/>
          <w:szCs w:val="28"/>
        </w:rPr>
        <w:t xml:space="preserve"> | </w:t>
      </w:r>
      <w:r w:rsidRPr="00154026">
        <w:rPr>
          <w:rFonts w:ascii="Arial" w:hAnsi="Arial"/>
          <w:b/>
          <w:noProof/>
          <w:sz w:val="28"/>
          <w:szCs w:val="28"/>
        </w:rPr>
        <w:t>5/17</w:t>
      </w:r>
      <w:r w:rsidRPr="00154026">
        <w:rPr>
          <w:rFonts w:ascii="Arial" w:hAnsi="Arial"/>
          <w:b/>
          <w:noProof/>
          <w:sz w:val="28"/>
          <w:szCs w:val="28"/>
        </w:rPr>
        <w:t>/2024 7:00:00 AM</w:t>
      </w:r>
      <w:r w:rsidRPr="00154026">
        <w:rPr>
          <w:rFonts w:ascii="Arial" w:hAnsi="Arial"/>
          <w:b/>
          <w:noProof/>
          <w:sz w:val="28"/>
          <w:szCs w:val="28"/>
        </w:rPr>
        <w:t xml:space="preserve"> </w:t>
      </w:r>
      <w:r w:rsidRPr="00154026">
        <w:rPr>
          <w:rFonts w:ascii="Arial" w:hAnsi="Arial"/>
          <w:b/>
          <w:noProof/>
          <w:sz w:val="28"/>
          <w:szCs w:val="28"/>
        </w:rPr>
        <w:t>Sinclair Community</w:t>
      </w:r>
      <w:r w:rsidRPr="00154026">
        <w:rPr>
          <w:rFonts w:ascii="Arial" w:hAnsi="Arial"/>
          <w:b/>
          <w:noProof/>
          <w:sz w:val="28"/>
          <w:szCs w:val="28"/>
        </w:rPr>
        <w:t xml:space="preserve"> College</w:t>
      </w:r>
      <w:r w:rsidRPr="00154026">
        <w:rPr>
          <w:rFonts w:ascii="Arial" w:hAnsi="Arial"/>
          <w:b/>
          <w:noProof/>
          <w:sz w:val="28"/>
          <w:szCs w:val="28"/>
        </w:rPr>
        <w:t xml:space="preserve"> </w:t>
      </w:r>
      <w:r w:rsidRPr="00154026">
        <w:rPr>
          <w:rFonts w:ascii="Arial" w:hAnsi="Arial"/>
          <w:b/>
          <w:noProof/>
          <w:sz w:val="28"/>
          <w:szCs w:val="28"/>
        </w:rPr>
        <w:t>OH</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&lt;p&gt;</w:t>
      </w:r>
      <w:r w:rsidRPr="00154026" w:rsidR="00993B4D">
        <w:rPr>
          <w:rFonts w:ascii="Arial" w:hAnsi="Arial"/>
          <w:noProof/>
          <w:color w:val="000000" w:themeColor="text1"/>
          <w:sz w:val="24"/>
          <w:szCs w:val="24"/>
        </w:rPr>
        <w:t>&lt;span style="font-size: 16px;"&gt;Annual conference providing updates and education in Trauma and Critical Care.&lt;/span&gt;&lt;/p&gt;&lt;p&gt;&lt;span style="font-size: 16px;"&gt;&lt;strong&gt;Physicians -&lt;/strong&gt; &lt;a href="http://"&gt;https://classfindweb.beryl.net/(S(tgx4jr03dfwxg0r2t4ax0qjm))/ClassInformation.aspx?ClientID=12367&amp;amp;ClientSessionID=201802&lt;/a&gt;&lt;br&gt;&lt;/span&gt;&lt;/p&gt;&lt;p&gt;&lt;span style="font-size: 16px;"&gt;&lt;strong&gt;Healthcare Staff -&lt;/strong&gt; &lt;a href="http://"&gt;https://classfindweb.beryl.net/(S(2ac1fhzygbxsyzfugoazn3zt))/ClassInformation.aspx?ClientID=12367&amp;amp;ClientSessionID=201801&lt;/a&gt;&lt;br&gt;&lt;/span&gt;&lt;/p&gt;&lt;p&gt;&lt;span style="font-size: 16px;"&gt;&lt;strong&gt;EMS -&lt;/strong&gt; &lt;a href="http://"&gt;https://classfindweb.beryl.net/(S(zn2s5ipkq30a4dodwd3cudpv))/ClassInformation.aspx?ClientID=12367&amp;amp;ClientSessionID=201800&lt;/a&gt;&lt;br&gt;&lt;/span&gt;&lt;/p&gt;&lt;p&gt;&lt;span style="font-size: 16px;"&gt;&lt;strong&gt;Students -&lt;/strong&gt; &lt;a href="http://"&gt;https://classfindweb.beryl.net/(S(xvbkhgpfzkdjvlu35gfqhp2p))/ClassInformation.aspx?ClientID=12367&amp;amp;ClientSessionID=201799&lt;/a&gt;&lt;br&gt;&lt;br&gt;&lt;/span&gt;&lt;/p&gt;</w:t>
      </w:r>
    </w:p>
    <w:p w:rsidR="00993B4D" w:rsidRPr="00154026" w:rsidP="006A623D">
      <w:pPr>
        <w:spacing w:line="240" w:lineRule="auto"/>
        <w:rPr>
          <w:rFonts w:ascii="Arial" w:hAnsi="Arial"/>
          <w:color w:val="000000" w:themeColor="text1"/>
          <w:sz w:val="24"/>
          <w:szCs w:val="24"/>
        </w:rPr>
      </w:pPr>
    </w:p>
    <w:p w:rsidR="00993B4D" w:rsidRPr="00154026" w:rsidP="006A623D">
      <w:pPr>
        <w:spacing w:line="240" w:lineRule="auto"/>
        <w:rPr>
          <w:rFonts w:ascii="Arial" w:hAnsi="Arial"/>
          <w:color w:val="000000" w:themeColor="text1"/>
          <w:sz w:val="24"/>
          <w:szCs w:val="24"/>
        </w:rPr>
      </w:pPr>
      <w:r w:rsidRPr="00154026">
        <w:rPr>
          <w:rFonts w:ascii="Arial" w:hAnsi="Arial" w:cs="Arial"/>
          <w:b/>
          <w:sz w:val="24"/>
          <w:szCs w:val="24"/>
        </w:rPr>
        <w:t>Program Goal:</w:t>
      </w:r>
      <w:r w:rsidRPr="00154026">
        <w:rPr>
          <w:rFonts w:ascii="Arial" w:hAnsi="Arial" w:cs="Arial"/>
          <w:sz w:val="24"/>
          <w:szCs w:val="24"/>
        </w:rPr>
        <w:t xml:space="preserve"> </w:t>
      </w:r>
      <w:r w:rsidRPr="00154026">
        <w:rPr>
          <w:rFonts w:ascii="Arial" w:hAnsi="Arial" w:cs="Arial"/>
          <w:noProof/>
          <w:sz w:val="24"/>
          <w:szCs w:val="24"/>
        </w:rPr>
        <w:t>1 The</w:t>
      </w:r>
      <w:r w:rsidRPr="00154026">
        <w:rPr>
          <w:rFonts w:ascii="Arial" w:hAnsi="Arial" w:cs="Arial"/>
          <w:noProof/>
          <w:sz w:val="24"/>
          <w:szCs w:val="24"/>
        </w:rPr>
        <w:t xml:space="preserve"> learner will have increased knowledge of current trauma practices discussed at this conference. </w:t>
      </w:r>
    </w:p>
    <w:p w:rsidR="00993B4D" w:rsidRPr="00154026" w:rsidP="006A623D">
      <w:pPr>
        <w:spacing w:line="240" w:lineRule="auto"/>
        <w:rPr>
          <w:rFonts w:ascii="Arial" w:hAnsi="Arial"/>
          <w:color w:val="000000" w:themeColor="text1"/>
          <w:sz w:val="24"/>
          <w:szCs w:val="24"/>
        </w:rPr>
      </w:pPr>
      <w:r w:rsidRPr="00154026">
        <w:rPr>
          <w:rFonts w:ascii="Arial" w:hAnsi="Arial" w:cs="Arial"/>
          <w:noProof/>
          <w:sz w:val="24"/>
          <w:szCs w:val="24"/>
        </w:rPr>
        <w:t>2 Explain management, technology and techniques for optimal care of diverse trauma, critical care and emergency medicine-related issues</w:t>
      </w:r>
    </w:p>
    <w:p w:rsidR="00993B4D" w:rsidRPr="00154026" w:rsidP="006A623D">
      <w:pPr>
        <w:spacing w:line="240" w:lineRule="auto"/>
        <w:rPr>
          <w:rFonts w:ascii="Arial" w:hAnsi="Arial" w:cs="Arial"/>
          <w:noProof/>
          <w:sz w:val="24"/>
          <w:szCs w:val="24"/>
        </w:rPr>
      </w:pPr>
      <w:r w:rsidRPr="00154026">
        <w:rPr>
          <w:rFonts w:ascii="Arial" w:hAnsi="Arial" w:cs="Arial"/>
          <w:b/>
          <w:sz w:val="24"/>
          <w:szCs w:val="24"/>
        </w:rPr>
        <w:t>Target Audience:</w:t>
      </w:r>
      <w:r w:rsidRPr="00154026">
        <w:rPr>
          <w:rFonts w:ascii="Arial" w:hAnsi="Arial" w:cs="Arial"/>
          <w:sz w:val="24"/>
          <w:szCs w:val="24"/>
        </w:rPr>
        <w:t xml:space="preserve"> </w:t>
      </w:r>
      <w:r w:rsidRPr="00154026">
        <w:rPr>
          <w:rFonts w:ascii="Arial" w:hAnsi="Arial" w:cs="Arial"/>
          <w:noProof/>
          <w:sz w:val="24"/>
          <w:szCs w:val="24"/>
        </w:rPr>
        <w:t>Emergency Medicine</w:t>
      </w:r>
      <w:r w:rsidRPr="00154026">
        <w:rPr>
          <w:rFonts w:ascii="Arial" w:hAnsi="Arial" w:cs="Arial"/>
          <w:noProof/>
          <w:sz w:val="24"/>
          <w:szCs w:val="24"/>
        </w:rPr>
        <w:t>, Physical Medicine And Rehabilitation, Surgery, Orthopaedic , Orthopaedic Trauma, Surgical Critical Care</w:t>
      </w:r>
    </w:p>
    <w:p w:rsidR="009A3B3F" w:rsidRPr="00154026" w:rsidP="006A623D">
      <w:pPr>
        <w:spacing w:line="240" w:lineRule="auto"/>
        <w:rPr>
          <w:rFonts w:ascii="Arial" w:hAnsi="Arial" w:cs="Arial"/>
          <w:noProof/>
          <w:sz w:val="24"/>
          <w:szCs w:val="24"/>
        </w:rPr>
      </w:pPr>
      <w:r w:rsidRPr="00154026">
        <w:rPr>
          <w:rFonts w:ascii="Arial" w:hAnsi="Arial" w:cs="Arial"/>
          <w:b/>
          <w:sz w:val="24"/>
          <w:szCs w:val="24"/>
        </w:rPr>
        <w:t>Faculty:</w:t>
      </w:r>
      <w:r w:rsidRPr="00154026">
        <w:rPr>
          <w:rFonts w:ascii="Arial" w:hAnsi="Arial" w:cs="Arial"/>
          <w:sz w:val="24"/>
          <w:szCs w:val="24"/>
        </w:rPr>
        <w:t xml:space="preserve"> </w:t>
      </w:r>
      <w:r w:rsidRPr="00154026">
        <w:rPr>
          <w:rFonts w:ascii="Arial" w:hAnsi="Arial" w:cs="Arial"/>
          <w:noProof/>
          <w:sz w:val="24"/>
          <w:szCs w:val="24"/>
        </w:rPr>
        <w:t>Alison M</w:t>
      </w:r>
      <w:r w:rsidRPr="00154026">
        <w:rPr>
          <w:rFonts w:ascii="Arial" w:hAnsi="Arial" w:cs="Arial"/>
          <w:noProof/>
          <w:sz w:val="24"/>
          <w:szCs w:val="24"/>
        </w:rPr>
        <w:t xml:space="preserve"> Bales, MD</w:t>
      </w:r>
    </w:p>
    <w:p w:rsidRPr="00154026" w:rsidP="006A623D">
      <w:pPr>
        <w:spacing w:line="240" w:lineRule="auto"/>
        <w:rPr>
          <w:rFonts w:ascii="Arial" w:hAnsi="Arial" w:cs="Arial"/>
          <w:noProof/>
          <w:sz w:val="24"/>
          <w:szCs w:val="24"/>
        </w:rPr>
      </w:pPr>
      <w:r w:rsidRPr="00154026">
        <w:rPr>
          <w:rFonts w:ascii="Arial" w:hAnsi="Arial" w:cs="Arial"/>
          <w:noProof/>
          <w:sz w:val="24"/>
          <w:szCs w:val="24"/>
        </w:rPr>
        <w:t>Jordan  Brunswick, MD</w:t>
      </w:r>
    </w:p>
    <w:p w:rsidRPr="00154026" w:rsidP="006A623D">
      <w:pPr>
        <w:spacing w:line="240" w:lineRule="auto"/>
        <w:rPr>
          <w:rFonts w:ascii="Arial" w:hAnsi="Arial" w:cs="Arial"/>
          <w:noProof/>
          <w:sz w:val="24"/>
          <w:szCs w:val="24"/>
        </w:rPr>
      </w:pPr>
      <w:r w:rsidRPr="00154026">
        <w:rPr>
          <w:rFonts w:ascii="Arial" w:hAnsi="Arial" w:cs="Arial"/>
          <w:noProof/>
          <w:sz w:val="24"/>
          <w:szCs w:val="24"/>
        </w:rPr>
        <w:t>ciandra  dsouza, MD, MPH</w:t>
      </w:r>
    </w:p>
    <w:p w:rsidRPr="00154026" w:rsidP="006A623D">
      <w:pPr>
        <w:spacing w:line="240" w:lineRule="auto"/>
        <w:rPr>
          <w:rFonts w:ascii="Arial" w:hAnsi="Arial" w:cs="Arial"/>
          <w:noProof/>
          <w:sz w:val="24"/>
          <w:szCs w:val="24"/>
        </w:rPr>
      </w:pPr>
      <w:r w:rsidRPr="00154026">
        <w:rPr>
          <w:rFonts w:ascii="Arial" w:hAnsi="Arial" w:cs="Arial"/>
          <w:noProof/>
          <w:sz w:val="24"/>
          <w:szCs w:val="24"/>
        </w:rPr>
        <w:t>Peter  Ekeh, MD, MPH</w:t>
      </w:r>
    </w:p>
    <w:p w:rsidRPr="00154026" w:rsidP="006A623D">
      <w:pPr>
        <w:spacing w:line="240" w:lineRule="auto"/>
        <w:rPr>
          <w:rFonts w:ascii="Arial" w:hAnsi="Arial" w:cs="Arial"/>
          <w:noProof/>
          <w:sz w:val="24"/>
          <w:szCs w:val="24"/>
        </w:rPr>
      </w:pPr>
      <w:r w:rsidRPr="00154026">
        <w:rPr>
          <w:rFonts w:ascii="Arial" w:hAnsi="Arial" w:cs="Arial"/>
          <w:noProof/>
          <w:sz w:val="24"/>
          <w:szCs w:val="24"/>
        </w:rPr>
        <w:t>Michael  Goodman, MD</w:t>
      </w:r>
    </w:p>
    <w:p w:rsidRPr="00154026" w:rsidP="006A623D">
      <w:pPr>
        <w:spacing w:line="240" w:lineRule="auto"/>
        <w:rPr>
          <w:rFonts w:ascii="Arial" w:hAnsi="Arial" w:cs="Arial"/>
          <w:noProof/>
          <w:sz w:val="24"/>
          <w:szCs w:val="24"/>
        </w:rPr>
      </w:pPr>
      <w:r w:rsidRPr="00154026">
        <w:rPr>
          <w:rFonts w:ascii="Arial" w:hAnsi="Arial" w:cs="Arial"/>
          <w:noProof/>
          <w:sz w:val="24"/>
          <w:szCs w:val="24"/>
        </w:rPr>
        <w:t>Sarah  Higginson, MD, FACS</w:t>
      </w:r>
    </w:p>
    <w:p w:rsidRPr="00154026" w:rsidP="006A623D">
      <w:pPr>
        <w:spacing w:line="240" w:lineRule="auto"/>
        <w:rPr>
          <w:rFonts w:ascii="Arial" w:hAnsi="Arial" w:cs="Arial"/>
          <w:noProof/>
          <w:sz w:val="24"/>
          <w:szCs w:val="24"/>
        </w:rPr>
      </w:pPr>
      <w:r w:rsidRPr="00154026">
        <w:rPr>
          <w:rFonts w:ascii="Arial" w:hAnsi="Arial" w:cs="Arial"/>
          <w:noProof/>
          <w:sz w:val="24"/>
          <w:szCs w:val="24"/>
        </w:rPr>
        <w:t>Krysten  Kasting, MD, Board certified PM&amp;R</w:t>
      </w:r>
    </w:p>
    <w:p w:rsidRPr="00154026" w:rsidP="006A623D">
      <w:pPr>
        <w:spacing w:line="240" w:lineRule="auto"/>
        <w:rPr>
          <w:rFonts w:ascii="Arial" w:hAnsi="Arial" w:cs="Arial"/>
          <w:noProof/>
          <w:sz w:val="24"/>
          <w:szCs w:val="24"/>
        </w:rPr>
      </w:pPr>
      <w:r w:rsidRPr="00154026">
        <w:rPr>
          <w:rFonts w:ascii="Arial" w:hAnsi="Arial" w:cs="Arial"/>
          <w:noProof/>
          <w:sz w:val="24"/>
          <w:szCs w:val="24"/>
        </w:rPr>
        <w:t>Alexander  Kobzik, MD</w:t>
      </w:r>
    </w:p>
    <w:p w:rsidRPr="00154026" w:rsidP="006A623D">
      <w:pPr>
        <w:spacing w:line="240" w:lineRule="auto"/>
        <w:rPr>
          <w:rFonts w:ascii="Arial" w:hAnsi="Arial" w:cs="Arial"/>
          <w:noProof/>
          <w:sz w:val="24"/>
          <w:szCs w:val="24"/>
        </w:rPr>
      </w:pPr>
      <w:r w:rsidRPr="00154026">
        <w:rPr>
          <w:rFonts w:ascii="Arial" w:hAnsi="Arial" w:cs="Arial"/>
          <w:noProof/>
          <w:sz w:val="24"/>
          <w:szCs w:val="24"/>
        </w:rPr>
        <w:t>Kimberlee  Lewis, RN</w:t>
      </w:r>
    </w:p>
    <w:p w:rsidRPr="00154026" w:rsidP="006A623D">
      <w:pPr>
        <w:spacing w:line="240" w:lineRule="auto"/>
        <w:rPr>
          <w:rFonts w:ascii="Arial" w:hAnsi="Arial" w:cs="Arial"/>
          <w:noProof/>
          <w:sz w:val="24"/>
          <w:szCs w:val="24"/>
        </w:rPr>
      </w:pPr>
      <w:r w:rsidRPr="00154026">
        <w:rPr>
          <w:rFonts w:ascii="Arial" w:hAnsi="Arial" w:cs="Arial"/>
          <w:noProof/>
          <w:sz w:val="24"/>
          <w:szCs w:val="24"/>
        </w:rPr>
        <w:t>Kelly  Liker, MD, MBA</w:t>
      </w:r>
    </w:p>
    <w:p w:rsidRPr="00154026" w:rsidP="006A623D">
      <w:pPr>
        <w:spacing w:line="240" w:lineRule="auto"/>
        <w:rPr>
          <w:rFonts w:ascii="Arial" w:hAnsi="Arial" w:cs="Arial"/>
          <w:noProof/>
          <w:sz w:val="24"/>
          <w:szCs w:val="24"/>
        </w:rPr>
      </w:pPr>
      <w:r w:rsidRPr="00154026">
        <w:rPr>
          <w:rFonts w:ascii="Arial" w:hAnsi="Arial" w:cs="Arial"/>
          <w:noProof/>
          <w:sz w:val="24"/>
          <w:szCs w:val="24"/>
        </w:rPr>
        <w:t>Brian P Murray, DO, FACEP</w:t>
      </w:r>
    </w:p>
    <w:p w:rsidRPr="00154026" w:rsidP="006A623D">
      <w:pPr>
        <w:spacing w:line="240" w:lineRule="auto"/>
        <w:rPr>
          <w:rFonts w:ascii="Arial" w:hAnsi="Arial" w:cs="Arial"/>
          <w:noProof/>
          <w:sz w:val="24"/>
          <w:szCs w:val="24"/>
        </w:rPr>
      </w:pPr>
      <w:r w:rsidRPr="00154026">
        <w:rPr>
          <w:rFonts w:ascii="Arial" w:hAnsi="Arial" w:cs="Arial"/>
          <w:noProof/>
          <w:sz w:val="24"/>
          <w:szCs w:val="24"/>
        </w:rPr>
        <w:t xml:space="preserve">Jessica  Oakley, RN, BSN, CEN, Paramedic </w:t>
      </w:r>
    </w:p>
    <w:p w:rsidRPr="00154026" w:rsidP="006A623D">
      <w:pPr>
        <w:spacing w:line="240" w:lineRule="auto"/>
        <w:rPr>
          <w:rFonts w:ascii="Arial" w:hAnsi="Arial" w:cs="Arial"/>
          <w:noProof/>
          <w:sz w:val="24"/>
          <w:szCs w:val="24"/>
        </w:rPr>
      </w:pPr>
      <w:r w:rsidRPr="00154026">
        <w:rPr>
          <w:rFonts w:ascii="Arial" w:hAnsi="Arial" w:cs="Arial"/>
          <w:noProof/>
          <w:sz w:val="24"/>
          <w:szCs w:val="24"/>
        </w:rPr>
        <w:t>Sarah  Pearson , MSN</w:t>
      </w:r>
    </w:p>
    <w:p w:rsidRPr="00154026" w:rsidP="006A623D">
      <w:pPr>
        <w:spacing w:line="240" w:lineRule="auto"/>
        <w:rPr>
          <w:rFonts w:ascii="Arial" w:hAnsi="Arial" w:cs="Arial"/>
          <w:noProof/>
          <w:sz w:val="24"/>
          <w:szCs w:val="24"/>
        </w:rPr>
      </w:pPr>
      <w:r w:rsidRPr="00154026">
        <w:rPr>
          <w:rFonts w:ascii="Arial" w:hAnsi="Arial" w:cs="Arial"/>
          <w:noProof/>
          <w:sz w:val="24"/>
          <w:szCs w:val="24"/>
        </w:rPr>
        <w:t>Gregory R Semon, DO, FACS, FACOS</w:t>
      </w:r>
    </w:p>
    <w:p w:rsidRPr="00154026" w:rsidP="006A623D">
      <w:pPr>
        <w:spacing w:line="240" w:lineRule="auto"/>
        <w:rPr>
          <w:rFonts w:ascii="Arial" w:hAnsi="Arial" w:cs="Arial"/>
          <w:noProof/>
          <w:sz w:val="24"/>
          <w:szCs w:val="24"/>
        </w:rPr>
      </w:pPr>
      <w:r w:rsidRPr="00154026">
        <w:rPr>
          <w:rFonts w:ascii="Arial" w:hAnsi="Arial" w:cs="Arial"/>
          <w:noProof/>
          <w:sz w:val="24"/>
          <w:szCs w:val="24"/>
        </w:rPr>
        <w:t>David  Spain, MD</w:t>
      </w:r>
    </w:p>
    <w:p w:rsidR="009A3B3F" w:rsidRPr="00154026" w:rsidP="006A623D">
      <w:pPr>
        <w:spacing w:line="240" w:lineRule="auto"/>
        <w:rPr>
          <w:rFonts w:ascii="Arial" w:hAnsi="Arial" w:cs="Arial"/>
          <w:noProof/>
          <w:sz w:val="24"/>
          <w:szCs w:val="24"/>
        </w:rPr>
      </w:pPr>
    </w:p>
    <w:p w:rsidR="009A3B3F" w:rsidRPr="00154026" w:rsidP="006A623D">
      <w:pPr>
        <w:spacing w:line="240" w:lineRule="auto"/>
        <w:rPr>
          <w:rFonts w:ascii="Arial" w:hAnsi="Arial" w:cs="Arial"/>
          <w:sz w:val="24"/>
          <w:szCs w:val="24"/>
        </w:rPr>
      </w:pPr>
      <w:r w:rsidRPr="00154026">
        <w:rPr>
          <w:rFonts w:ascii="Arial" w:hAnsi="Arial" w:cs="Arial"/>
          <w:b/>
          <w:sz w:val="24"/>
          <w:szCs w:val="24"/>
        </w:rPr>
        <w:t>Misc:</w:t>
      </w:r>
      <w:r w:rsidRPr="00154026">
        <w:rPr>
          <w:rFonts w:ascii="Arial" w:hAnsi="Arial" w:cs="Arial"/>
          <w:sz w:val="24"/>
          <w:szCs w:val="24"/>
        </w:rPr>
        <w:t xml:space="preserve"> </w:t>
      </w:r>
      <w:r w:rsidRPr="00154026">
        <w:rPr>
          <w:rFonts w:ascii="Arial" w:hAnsi="Arial" w:cs="Arial"/>
          <w:noProof/>
          <w:sz w:val="24"/>
          <w:szCs w:val="24"/>
        </w:rPr>
        <w:t>&lt;p&gt;</w:t>
      </w:r>
      <w:r w:rsidRPr="00154026">
        <w:rPr>
          <w:rFonts w:ascii="Arial" w:hAnsi="Arial" w:cs="Arial"/>
          <w:noProof/>
          <w:sz w:val="24"/>
          <w:szCs w:val="24"/>
        </w:rPr>
        <w:t>&lt;strong&gt;&lt;span style="color: #8c1515;"&gt;Cancellation Policy&lt;/span&gt;&lt;/strong&gt;&lt;/p&gt;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&lt;p&gt;Cancellations received in writing &lt;strong&gt;no less than 20 days before the course&lt;/strong&gt; will be refunded, less a 20% administrative fee. No refunds will be made on cancellations received after that date. Please send cancellation requests to&amp;nbsp;cme-phcme@premierhealth.cloud-cme.com.&lt;br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Premier Health-Wright State CME Alliance reserves the right to cancel or postpone this program if necessary; in the event of cancellation, course fees will be fully refunded. We are not responsible for other costs incurred such as non-refundable airline tickets or hotel penalties.&lt;br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&lt;strong&gt;Accessibility Statement&lt;/strong&gt;&lt;br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&amp;nbsp;&lt;br /&gt;</w:t>
      </w:r>
    </w:p>
    <w:p w:rsidRPr="00154026" w:rsidP="006A623D">
      <w:pPr>
        <w:spacing w:line="240" w:lineRule="auto"/>
        <w:rPr>
          <w:rFonts w:ascii="Arial" w:hAnsi="Arial" w:cs="Arial"/>
          <w:noProof/>
          <w:sz w:val="24"/>
          <w:szCs w:val="24"/>
        </w:rPr>
      </w:pPr>
      <w:r w:rsidRPr="00154026">
        <w:rPr>
          <w:rFonts w:ascii="Arial" w:hAnsi="Arial" w:cs="Arial"/>
          <w:noProof/>
          <w:sz w:val="24"/>
          <w:szCs w:val="24"/>
        </w:rPr>
        <w:t>Premier Health-Wright State CME Alliance&amp;nbsp;is committed to ensuring that its programs, services, goods and facilities are accessible to individuals with disabilities as specified under Section 504 of the Rehabilitation Act of 1973 and the Americans with Disabilities Amendments Act of 2008.&amp;nbsp; If you have needs that require special accommodations, including dietary concerns, please contact the CME Conference Coordinator.&lt;/p&gt;</w:t>
      </w:r>
    </w:p>
    <w:p w:rsidR="009A3B3F" w:rsidRPr="00154026" w:rsidP="006A623D">
      <w:pPr>
        <w:spacing w:line="240" w:lineRule="auto"/>
        <w:rPr>
          <w:rFonts w:ascii="Arial" w:hAnsi="Arial" w:cs="Arial"/>
          <w:sz w:val="24"/>
          <w:szCs w:val="24"/>
        </w:rPr>
      </w:pPr>
      <w:r w:rsidRPr="00154026">
        <w:rPr>
          <w:rFonts w:ascii="Arial" w:hAnsi="Arial" w:cs="Arial"/>
          <w:noProof/>
          <w:sz w:val="24"/>
          <w:szCs w:val="24"/>
        </w:rPr>
        <w:t>&lt;br /&gt;</w:t>
      </w:r>
    </w:p>
    <w:p w:rsidR="00CC477A" w:rsidRPr="00154026" w:rsidP="00CC477A">
      <w:pPr>
        <w:spacing w:line="240" w:lineRule="auto"/>
        <w:rPr>
          <w:rFonts w:ascii="Arial" w:hAnsi="Arial" w:cs="Arial"/>
          <w:sz w:val="24"/>
          <w:szCs w:val="20"/>
        </w:rPr>
      </w:pPr>
      <w:r w:rsidRPr="00154026">
        <w:rPr>
          <w:rFonts w:ascii="Arial" w:hAnsi="Arial" w:cs="Arial"/>
          <w:sz w:val="24"/>
          <w:szCs w:val="20"/>
        </w:rPr>
        <w:t>The</w:t>
      </w:r>
      <w:r w:rsidRPr="00154026">
        <w:rPr>
          <w:rFonts w:ascii="Arial" w:hAnsi="Arial" w:cs="Arial"/>
          <w:sz w:val="24"/>
          <w:szCs w:val="20"/>
        </w:rPr>
        <w:t xml:space="preserve"> </w:t>
      </w:r>
      <w:r w:rsidRPr="00154026">
        <w:rPr>
          <w:rFonts w:ascii="Arial" w:hAnsi="Arial" w:cs="Arial"/>
          <w:sz w:val="24"/>
          <w:szCs w:val="20"/>
        </w:rPr>
        <w:t>School of Medicine is accredited by the Accreditation Council for Continuing Medical Education (ACCME) to provide continuing medical education for physicians</w:t>
      </w:r>
      <w:r w:rsidRPr="00154026">
        <w:rPr>
          <w:rFonts w:ascii="Arial" w:hAnsi="Arial" w:cs="Arial"/>
          <w:sz w:val="24"/>
          <w:szCs w:val="20"/>
        </w:rPr>
        <w:t>.</w:t>
      </w:r>
    </w:p>
    <w:p w:rsidR="00993B4D" w:rsidRPr="00154026" w:rsidP="003B6C7B">
      <w:pPr>
        <w:spacing w:line="240" w:lineRule="auto"/>
        <w:rPr>
          <w:rFonts w:ascii="Arial" w:hAnsi="Arial" w:cs="Arial"/>
          <w:sz w:val="24"/>
          <w:szCs w:val="20"/>
        </w:rPr>
      </w:pPr>
      <w:r w:rsidRPr="00154026">
        <w:rPr>
          <w:rFonts w:ascii="Arial" w:hAnsi="Arial" w:cs="Arial"/>
          <w:sz w:val="24"/>
          <w:szCs w:val="20"/>
        </w:rPr>
        <w:t>The</w:t>
      </w:r>
      <w:r w:rsidRPr="00154026" w:rsidR="00CC477A">
        <w:rPr>
          <w:rFonts w:ascii="Arial" w:hAnsi="Arial" w:cs="Arial"/>
          <w:sz w:val="24"/>
          <w:szCs w:val="20"/>
        </w:rPr>
        <w:t xml:space="preserve"> School of Medicine </w:t>
      </w:r>
      <w:r w:rsidRPr="00154026">
        <w:rPr>
          <w:rFonts w:ascii="Arial" w:hAnsi="Arial" w:cs="Arial"/>
          <w:sz w:val="24"/>
          <w:szCs w:val="20"/>
        </w:rPr>
        <w:t xml:space="preserve">designates this educational activity for a maximum of </w:t>
      </w:r>
      <w:r w:rsidRPr="00154026">
        <w:rPr>
          <w:rFonts w:ascii="Arial" w:hAnsi="Arial" w:cs="Arial"/>
          <w:noProof/>
          <w:sz w:val="24"/>
        </w:rPr>
        <w:t>6.50</w:t>
      </w:r>
      <w:r w:rsidRPr="00154026">
        <w:rPr>
          <w:rFonts w:ascii="Arial" w:hAnsi="Arial" w:cs="Arial"/>
          <w:sz w:val="24"/>
        </w:rPr>
        <w:t xml:space="preserve"> </w:t>
      </w:r>
      <w:r w:rsidRPr="00154026">
        <w:rPr>
          <w:rFonts w:ascii="Arial" w:hAnsi="Arial" w:cs="Arial"/>
          <w:sz w:val="24"/>
          <w:szCs w:val="20"/>
        </w:rPr>
        <w:t>AMA PRA Category 1 Credit. Physicians should only claim credit commensurate with the extent of their participation in the activity.</w:t>
      </w:r>
    </w:p>
    <w:p w:rsidR="00993B4D" w:rsidRPr="00154026" w:rsidP="006A623D">
      <w:pPr>
        <w:spacing w:line="240" w:lineRule="auto"/>
        <w:rPr>
          <w:rFonts w:ascii="Arial" w:hAnsi="Arial"/>
          <w:color w:val="000000" w:themeColor="text1"/>
          <w:sz w:val="24"/>
          <w:szCs w:val="24"/>
        </w:rPr>
      </w:pPr>
      <w:r w:rsidRPr="00154026">
        <w:rPr>
          <w:rFonts w:ascii="Arial" w:hAnsi="Arial" w:cs="Arial"/>
          <w:sz w:val="24"/>
          <w:szCs w:val="24"/>
        </w:rPr>
        <w:t>If you have</w:t>
      </w:r>
      <w:r w:rsidRPr="00154026">
        <w:rPr>
          <w:rFonts w:ascii="Arial" w:hAnsi="Arial" w:cs="Arial"/>
          <w:sz w:val="24"/>
          <w:szCs w:val="24"/>
        </w:rPr>
        <w:t xml:space="preserve"> questions, </w:t>
      </w:r>
      <w:r w:rsidRPr="00154026">
        <w:rPr>
          <w:rFonts w:ascii="Arial" w:hAnsi="Arial" w:cs="Arial"/>
          <w:sz w:val="24"/>
          <w:szCs w:val="24"/>
        </w:rPr>
        <w:t xml:space="preserve">please </w:t>
      </w:r>
      <w:r w:rsidRPr="00154026">
        <w:rPr>
          <w:rFonts w:ascii="Arial" w:hAnsi="Arial" w:cs="Arial"/>
          <w:sz w:val="24"/>
          <w:szCs w:val="24"/>
        </w:rPr>
        <w:t xml:space="preserve">email </w:t>
      </w:r>
      <w:r w:rsidRPr="00154026">
        <w:rPr>
          <w:rFonts w:ascii="Arial" w:hAnsi="Arial" w:cs="Arial"/>
          <w:noProof/>
          <w:sz w:val="24"/>
          <w:szCs w:val="24"/>
        </w:rPr>
        <w:t>ambales@PremierHealth</w:t>
      </w:r>
      <w:r w:rsidRPr="00154026">
        <w:rPr>
          <w:rFonts w:ascii="Arial" w:hAnsi="Arial" w:cs="Arial"/>
          <w:noProof/>
          <w:sz w:val="24"/>
          <w:szCs w:val="24"/>
        </w:rPr>
        <w:t>.com, michael.goodman@uc.edu, ciandrad@gmail.com, dspain@stanford.edu, kkasting@PremierHealth.com, grsemon@premierhealth.com, likerk@childrensdayton.org, jmbrunswic@premierhealth.com, jaoakley@PremierHealth.com, bpmurray@premierhealth.com, sara.higginson@shrinenet.org, apekeh@premierhealth.com, ajkobzik@premierhealth.com, pearsons@childrensdayton.org, lewisk1@childrensdayton.org</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m:mathPr>
    <m:mathFont m:val="@ＭＳ ゴシック"/>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Office Word</Application>
  <DocSecurity>0</DocSecurity>
  <Lines>7</Lines>
  <Paragraphs>1</Paragraphs>
  <ScaleCrop>false</ScaleCrop>
  <Company>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Paul Carpenter</cp:lastModifiedBy>
  <cp:revision>9</cp:revision>
  <dcterms:created xsi:type="dcterms:W3CDTF">2016-02-10T14:54:00Z</dcterms:created>
  <dcterms:modified xsi:type="dcterms:W3CDTF">2017-05-23T15:26:00Z</dcterms:modified>
</cp:coreProperties>
</file>